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DA0" w:rsidRDefault="00325DA0" w:rsidP="00325DA0">
      <w:pPr>
        <w:widowControl/>
        <w:shd w:val="clear" w:color="auto" w:fill="FFFFFF"/>
        <w:spacing w:before="100" w:beforeAutospacing="1" w:after="100" w:afterAutospacing="1" w:line="480" w:lineRule="exact"/>
        <w:jc w:val="left"/>
        <w:outlineLvl w:val="1"/>
        <w:rPr>
          <w:rFonts w:ascii="微软雅黑" w:eastAsia="微软雅黑" w:hAnsi="微软雅黑" w:cs="宋体"/>
          <w:b/>
          <w:bCs/>
          <w:color w:val="000000"/>
          <w:kern w:val="36"/>
          <w:sz w:val="30"/>
          <w:szCs w:val="30"/>
        </w:rPr>
      </w:pPr>
      <w:r>
        <w:rPr>
          <w:rFonts w:ascii="宋体" w:hAnsi="宋体" w:hint="eastAsia"/>
          <w:sz w:val="28"/>
        </w:rPr>
        <w:t>附件</w:t>
      </w:r>
      <w:r>
        <w:rPr>
          <w:rFonts w:ascii="宋体" w:hAnsi="宋体"/>
          <w:sz w:val="28"/>
        </w:rPr>
        <w:t>1</w:t>
      </w:r>
      <w:bookmarkStart w:id="0" w:name="_GoBack"/>
      <w:bookmarkEnd w:id="0"/>
      <w:r>
        <w:rPr>
          <w:rFonts w:ascii="宋体" w:hAnsi="宋体" w:hint="eastAsia"/>
          <w:sz w:val="28"/>
        </w:rPr>
        <w:t>：</w:t>
      </w:r>
    </w:p>
    <w:p w:rsidR="00325DA0" w:rsidRDefault="00325DA0" w:rsidP="00325DA0">
      <w:pPr>
        <w:snapToGrid w:val="0"/>
        <w:spacing w:line="500" w:lineRule="atLeast"/>
        <w:jc w:val="center"/>
        <w:rPr>
          <w:rFonts w:ascii="宋体" w:hAnsi="宋体" w:hint="eastAsia"/>
          <w:b/>
          <w:sz w:val="32"/>
          <w:szCs w:val="32"/>
        </w:rPr>
      </w:pPr>
      <w:r>
        <w:rPr>
          <w:rFonts w:ascii="宋体" w:hAnsi="宋体" w:hint="eastAsia"/>
          <w:b/>
          <w:sz w:val="32"/>
          <w:szCs w:val="32"/>
        </w:rPr>
        <w:t>教育部等五部门关于深化高等教育领域</w:t>
      </w:r>
      <w:r>
        <w:rPr>
          <w:rFonts w:ascii="宋体" w:hAnsi="宋体" w:hint="eastAsia"/>
          <w:b/>
          <w:sz w:val="32"/>
          <w:szCs w:val="32"/>
        </w:rPr>
        <w:br/>
        <w:t>简政放权放管结合优化服务改革的若干意见</w:t>
      </w:r>
    </w:p>
    <w:p w:rsidR="00325DA0" w:rsidRDefault="00325DA0" w:rsidP="00325DA0">
      <w:pPr>
        <w:widowControl/>
        <w:shd w:val="clear" w:color="auto" w:fill="FFFFFF"/>
        <w:spacing w:before="100" w:beforeAutospacing="1" w:after="100" w:afterAutospacing="1" w:line="480" w:lineRule="exact"/>
        <w:jc w:val="right"/>
        <w:rPr>
          <w:rFonts w:ascii="仿宋" w:eastAsia="仿宋" w:hAnsi="仿宋" w:cs="宋体" w:hint="eastAsia"/>
          <w:b/>
          <w:bCs/>
          <w:color w:val="000000"/>
          <w:kern w:val="0"/>
          <w:sz w:val="24"/>
        </w:rPr>
      </w:pPr>
      <w:r>
        <w:rPr>
          <w:rFonts w:ascii="仿宋" w:eastAsia="仿宋" w:hAnsi="仿宋" w:cs="宋体" w:hint="eastAsia"/>
          <w:b/>
          <w:bCs/>
          <w:color w:val="000000"/>
          <w:kern w:val="0"/>
          <w:sz w:val="24"/>
        </w:rPr>
        <w:t>教政法〔2017〕7号</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各省、自治区、直辖市人民政府，国务院各部委、各直属机构：</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为深入贯彻落实党的十八大和十八届三中、四中、五中、六中全会精神，全面贯彻党的教育方针，坚持社会主义办学方向，完善中国特色现代大学制度，破除束缚高等教育改革发展的体制机制障碍，进一步向地方和高校放权，给高校松绑减负、简除烦苛，让学校拥有更大办学自主权，激发广大教学科研人员教书育人、干事创业的积极性和主动性，培养符合社会主义现代化建设需要的各类创新人才，培育国际竞争新优势，经国务院同意，现就深化高等教育领域简政放权放管结合优化服务改革提出以下意见：</w:t>
      </w:r>
    </w:p>
    <w:p w:rsidR="00325DA0" w:rsidRDefault="00325DA0" w:rsidP="00325DA0">
      <w:pPr>
        <w:widowControl/>
        <w:shd w:val="clear" w:color="auto" w:fill="FFFFFF"/>
        <w:spacing w:line="480" w:lineRule="exact"/>
        <w:jc w:val="left"/>
        <w:rPr>
          <w:rFonts w:ascii="微软雅黑" w:eastAsia="微软雅黑" w:hAnsi="微软雅黑" w:cs="宋体" w:hint="eastAsia"/>
          <w:color w:val="000000"/>
          <w:kern w:val="0"/>
          <w:sz w:val="24"/>
        </w:rPr>
      </w:pPr>
      <w:r>
        <w:rPr>
          <w:rFonts w:ascii="微软雅黑" w:eastAsia="微软雅黑" w:hAnsi="微软雅黑" w:cs="宋体" w:hint="eastAsia"/>
          <w:color w:val="000000"/>
          <w:kern w:val="0"/>
          <w:sz w:val="24"/>
        </w:rPr>
        <w:t xml:space="preserve">　　</w:t>
      </w:r>
      <w:r>
        <w:rPr>
          <w:rFonts w:ascii="微软雅黑" w:eastAsia="微软雅黑" w:hAnsi="微软雅黑" w:cs="宋体" w:hint="eastAsia"/>
          <w:b/>
          <w:bCs/>
          <w:color w:val="000000"/>
          <w:kern w:val="0"/>
          <w:sz w:val="24"/>
        </w:rPr>
        <w:t>一、完善高校学科专业设置机制</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微软雅黑" w:eastAsia="微软雅黑" w:hAnsi="微软雅黑" w:cs="宋体" w:hint="eastAsia"/>
          <w:color w:val="000000"/>
          <w:kern w:val="0"/>
          <w:sz w:val="24"/>
        </w:rPr>
        <w:t xml:space="preserve">　　</w:t>
      </w:r>
      <w:r>
        <w:rPr>
          <w:rFonts w:ascii="仿宋" w:eastAsia="仿宋" w:hAnsi="仿宋" w:cs="宋体" w:hint="eastAsia"/>
          <w:color w:val="000000"/>
          <w:kern w:val="0"/>
          <w:sz w:val="28"/>
        </w:rPr>
        <w:t>（一）改革学位授权审核机制。深入推进学位授权点动态调整。省级学位委员会负责审批学士学位授予单位及专业。国务院学位委员会委托省级学位委员会组织硕士学位授权审核和博士学位授权初审。稳妥推进部分高校自主审核博士硕士学位授权点。对承担国家重大科研任务、符合学位授予标准的高校，新增硕士博士学位授权可不再要求培养年限。国务院学位委员会要加强授权监管，完善学位授权准入标准，强化专家评审环节，开展学位授权点合格评估，对于不按照标准和程序办理、不能保证质量的，依法责令限期整改，直至撤销其博士硕士学位授权。</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二）改进高校本专科专业设置。除国家控制布点的专业外，高校自主设置《普通高等学校本科专业目录》内的专业，报教育部备案；自主设置高等职业教育（专科）专业，报省级教育行政部门备案。支持高校对接产业行业需求，经学科和产业行业专家充分论</w:t>
      </w:r>
      <w:r>
        <w:rPr>
          <w:rFonts w:ascii="仿宋" w:eastAsia="仿宋" w:hAnsi="仿宋" w:cs="宋体" w:hint="eastAsia"/>
          <w:color w:val="000000"/>
          <w:kern w:val="0"/>
          <w:sz w:val="28"/>
        </w:rPr>
        <w:lastRenderedPageBreak/>
        <w:t>证后，按照专业管理规定设置经济社会发展急需的新专业。加强专业建设信息服务，公布紧缺专业和就业率较低专业的名单，逐步建立高校招生、毕业生就业与专业设置联动机制。开展专业设置抽查，对存在问题的专业，责令有关高校限期整改或暂停招生。</w:t>
      </w:r>
    </w:p>
    <w:p w:rsidR="00325DA0" w:rsidRDefault="00325DA0" w:rsidP="00325DA0">
      <w:pPr>
        <w:widowControl/>
        <w:shd w:val="clear" w:color="auto" w:fill="FFFFFF"/>
        <w:spacing w:line="480" w:lineRule="exact"/>
        <w:jc w:val="left"/>
        <w:rPr>
          <w:rFonts w:ascii="微软雅黑" w:eastAsia="微软雅黑" w:hAnsi="微软雅黑" w:cs="宋体" w:hint="eastAsia"/>
          <w:color w:val="000000"/>
          <w:kern w:val="0"/>
          <w:sz w:val="24"/>
        </w:rPr>
      </w:pPr>
      <w:r>
        <w:rPr>
          <w:rFonts w:ascii="微软雅黑" w:eastAsia="微软雅黑" w:hAnsi="微软雅黑" w:cs="宋体" w:hint="eastAsia"/>
          <w:b/>
          <w:bCs/>
          <w:color w:val="000000"/>
          <w:kern w:val="0"/>
          <w:sz w:val="24"/>
        </w:rPr>
        <w:t xml:space="preserve">　　二、改革高校编制及岗位管理制度</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微软雅黑" w:eastAsia="微软雅黑" w:hAnsi="微软雅黑" w:cs="宋体" w:hint="eastAsia"/>
          <w:color w:val="000000"/>
          <w:kern w:val="0"/>
          <w:sz w:val="24"/>
        </w:rPr>
        <w:t xml:space="preserve">　　</w:t>
      </w:r>
      <w:r>
        <w:rPr>
          <w:rFonts w:ascii="仿宋" w:eastAsia="仿宋" w:hAnsi="仿宋" w:cs="宋体" w:hint="eastAsia"/>
          <w:color w:val="000000"/>
          <w:kern w:val="0"/>
          <w:sz w:val="28"/>
        </w:rPr>
        <w:t>（三）积极探索实行高校人员总量管理。教育部会同中央编办、财政部等相关部门制订高校人员总量核定指导标准和试点方案，积极开展试点。试点高校人员总量实行动态调整。纳入总量管理的人员享有相应待遇和保障。机构编制、高校主管部门发现高校在人员总量管理工作中存在弄虚作假等严重问题的，对相关负责人依法依规予以处理。</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四）高校依法自主管理岗位设置。高校根据国家有关规定在人员总量内组织制订岗位设置方案和管理办法，并主动公开，接受监督。岗位设置方案应包括岗位总量，教学科研、管理服务等各类岗位的名称、数量、结构比例、职责任务、工作标准、任职条件等。</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五）高校自主设置内设机构。高校根据办学实际需要和精简、效能的原则，自主确定教学、科研、行政职能部门等内设机构的设置和人员配备。鼓励高校推进内设机构取消行政级别的试点，管理人员实行职员制。改革后要保障高校内设机构人员享有相应的晋升、交流、任职、薪酬及相关待遇。</w:t>
      </w:r>
    </w:p>
    <w:p w:rsidR="00325DA0" w:rsidRDefault="00325DA0" w:rsidP="00325DA0">
      <w:pPr>
        <w:widowControl/>
        <w:shd w:val="clear" w:color="auto" w:fill="FFFFFF"/>
        <w:spacing w:line="480" w:lineRule="exact"/>
        <w:jc w:val="left"/>
        <w:rPr>
          <w:rFonts w:ascii="微软雅黑" w:eastAsia="微软雅黑" w:hAnsi="微软雅黑" w:cs="宋体" w:hint="eastAsia"/>
          <w:color w:val="000000"/>
          <w:kern w:val="0"/>
          <w:sz w:val="24"/>
        </w:rPr>
      </w:pPr>
      <w:r>
        <w:rPr>
          <w:rFonts w:ascii="微软雅黑" w:eastAsia="微软雅黑" w:hAnsi="微软雅黑" w:cs="宋体" w:hint="eastAsia"/>
          <w:color w:val="000000"/>
          <w:kern w:val="0"/>
          <w:sz w:val="24"/>
        </w:rPr>
        <w:t xml:space="preserve">　</w:t>
      </w:r>
      <w:r>
        <w:rPr>
          <w:rFonts w:ascii="微软雅黑" w:eastAsia="微软雅黑" w:hAnsi="微软雅黑" w:cs="宋体" w:hint="eastAsia"/>
          <w:b/>
          <w:bCs/>
          <w:color w:val="000000"/>
          <w:kern w:val="0"/>
          <w:sz w:val="24"/>
        </w:rPr>
        <w:t xml:space="preserve">　三、改善高校进人用人环境</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微软雅黑" w:eastAsia="微软雅黑" w:hAnsi="微软雅黑" w:cs="宋体" w:hint="eastAsia"/>
          <w:color w:val="000000"/>
          <w:kern w:val="0"/>
          <w:sz w:val="24"/>
        </w:rPr>
        <w:t xml:space="preserve">　</w:t>
      </w:r>
      <w:r>
        <w:rPr>
          <w:rFonts w:ascii="仿宋" w:eastAsia="仿宋" w:hAnsi="仿宋" w:cs="宋体" w:hint="eastAsia"/>
          <w:color w:val="000000"/>
          <w:kern w:val="0"/>
          <w:sz w:val="28"/>
        </w:rPr>
        <w:t xml:space="preserve">　（六）优化高校进人环境。高校根据事业发展、学科建设和队伍建设需要，自主制订招聘或解聘的条件和标准，自主公开招聘人才。政府各有关部门不统一组织高校人员聘用考试，简化进人程序，为高校聘用人才提供便捷高效的人事管理服务。高校在人员总量内聘用人才要围绕主业、突出重点、支持创新。</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（七）完善高校用人管理。高校根据其岗位设置方案和管理办法自主做好人员聘后管理。对总量内人员，高校与其签订聘用合</w:t>
      </w:r>
      <w:r>
        <w:rPr>
          <w:rFonts w:ascii="仿宋" w:eastAsia="仿宋" w:hAnsi="仿宋" w:cs="宋体" w:hint="eastAsia"/>
          <w:color w:val="000000"/>
          <w:kern w:val="0"/>
          <w:sz w:val="28"/>
        </w:rPr>
        <w:lastRenderedPageBreak/>
        <w:t>同。在人员总量外，高校可自主灵活用工，依法签订劳动合同，依法履行合同，规范实施管理，切实保护当事人合法权益。高校可根据国家有关规定，自主制订教师到企业兼职从事科技成果转化活动的办法和离岗创业办法。</w:t>
      </w:r>
    </w:p>
    <w:p w:rsidR="00325DA0" w:rsidRDefault="00325DA0" w:rsidP="00325DA0">
      <w:pPr>
        <w:widowControl/>
        <w:shd w:val="clear" w:color="auto" w:fill="FFFFFF"/>
        <w:spacing w:line="480" w:lineRule="exact"/>
        <w:jc w:val="left"/>
        <w:rPr>
          <w:rFonts w:ascii="微软雅黑" w:eastAsia="微软雅黑" w:hAnsi="微软雅黑" w:cs="宋体" w:hint="eastAsia"/>
          <w:color w:val="000000"/>
          <w:kern w:val="0"/>
          <w:sz w:val="24"/>
        </w:rPr>
      </w:pPr>
      <w:r>
        <w:rPr>
          <w:rFonts w:ascii="微软雅黑" w:eastAsia="微软雅黑" w:hAnsi="微软雅黑" w:cs="宋体" w:hint="eastAsia"/>
          <w:color w:val="000000"/>
          <w:kern w:val="0"/>
          <w:sz w:val="24"/>
        </w:rPr>
        <w:t xml:space="preserve">　</w:t>
      </w:r>
      <w:r>
        <w:rPr>
          <w:rFonts w:ascii="微软雅黑" w:eastAsia="微软雅黑" w:hAnsi="微软雅黑" w:cs="宋体" w:hint="eastAsia"/>
          <w:b/>
          <w:bCs/>
          <w:color w:val="000000"/>
          <w:kern w:val="0"/>
          <w:sz w:val="24"/>
        </w:rPr>
        <w:t xml:space="preserve">　四、改进高校教师职称评审机制</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微软雅黑" w:eastAsia="微软雅黑" w:hAnsi="微软雅黑" w:cs="宋体" w:hint="eastAsia"/>
          <w:color w:val="000000"/>
          <w:kern w:val="0"/>
          <w:sz w:val="24"/>
        </w:rPr>
        <w:t xml:space="preserve">　　</w:t>
      </w:r>
      <w:r>
        <w:rPr>
          <w:rFonts w:ascii="仿宋" w:eastAsia="仿宋" w:hAnsi="仿宋" w:cs="宋体" w:hint="eastAsia"/>
          <w:color w:val="000000"/>
          <w:kern w:val="0"/>
          <w:sz w:val="28"/>
        </w:rPr>
        <w:t>（八）下放高校教师职称评审权。高校自主制订本校教师职称评审办法和操作方案。职称评审办法、操作方案报教育、人力资源社会保障部门及高校主管部门备案。将高校教师职称评审权直接下放至高校，由高校自主组织职称评审、自主评价、按岗聘用。条件不具备、尚不能独立组织评审的高校，可采取联合评审的方式。教育、人力资源社会保障等部门要加强监管，对高校职称评审工作进行抽查，对因把关不严、程序不规范，造成投诉较多、争议较大的高校，要给予警告、责令整改；对违法违纪的责任人员，按照国家规定给予处理。</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九）改进教师职称评审方法。高校要将师德表现作为评聘的首要条件，提高教学业绩在评聘中的比重。针对不同类型、不同层次教师，按照哲学社会科学、自然科学等不同学科领域，基础研究、应用研究等不同研究类型，建立分类评价标准。完善同行专家评价机制，建立以“代表性成果”和实际贡献为主要内容的评价方式。</w:t>
      </w:r>
    </w:p>
    <w:p w:rsidR="00325DA0" w:rsidRDefault="00325DA0" w:rsidP="00325DA0">
      <w:pPr>
        <w:widowControl/>
        <w:shd w:val="clear" w:color="auto" w:fill="FFFFFF"/>
        <w:spacing w:line="480" w:lineRule="exact"/>
        <w:jc w:val="left"/>
        <w:rPr>
          <w:rFonts w:ascii="微软雅黑" w:eastAsia="微软雅黑" w:hAnsi="微软雅黑" w:cs="宋体" w:hint="eastAsia"/>
          <w:color w:val="000000"/>
          <w:kern w:val="0"/>
          <w:sz w:val="24"/>
        </w:rPr>
      </w:pPr>
      <w:r>
        <w:rPr>
          <w:rFonts w:ascii="微软雅黑" w:eastAsia="微软雅黑" w:hAnsi="微软雅黑" w:cs="宋体" w:hint="eastAsia"/>
          <w:color w:val="000000"/>
          <w:kern w:val="0"/>
          <w:sz w:val="24"/>
        </w:rPr>
        <w:t xml:space="preserve">　</w:t>
      </w:r>
      <w:r>
        <w:rPr>
          <w:rFonts w:ascii="微软雅黑" w:eastAsia="微软雅黑" w:hAnsi="微软雅黑" w:cs="宋体" w:hint="eastAsia"/>
          <w:b/>
          <w:bCs/>
          <w:color w:val="000000"/>
          <w:kern w:val="0"/>
          <w:sz w:val="24"/>
        </w:rPr>
        <w:t xml:space="preserve">　五、健全符合中国特色现代大学特点的薪酬分配制度</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微软雅黑" w:eastAsia="微软雅黑" w:hAnsi="微软雅黑" w:cs="宋体" w:hint="eastAsia"/>
          <w:color w:val="000000"/>
          <w:kern w:val="0"/>
          <w:sz w:val="24"/>
        </w:rPr>
        <w:t xml:space="preserve">　　</w:t>
      </w:r>
      <w:r>
        <w:rPr>
          <w:rFonts w:ascii="仿宋" w:eastAsia="仿宋" w:hAnsi="仿宋" w:cs="宋体" w:hint="eastAsia"/>
          <w:color w:val="000000"/>
          <w:kern w:val="0"/>
          <w:sz w:val="28"/>
        </w:rPr>
        <w:t>（十）支持高校推进内部薪酬分配改革。人力资源社会保障、财政等有关部门要支持高校建立健全有利于提高竞争力的内部分配机制，实行符合高校特点和发展要求的内部分配政策。高校要理顺内部收入分配关系，保持各类人员收入的合理比例。在核定的绩效工资总量内可采取年薪制、协议工资、项目工资等灵活多样的分配形式和分配办法。</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（十一）加强高校绩效工资管理。人力资源社会保障、财政等部门在核定绩效工资总量时，充分考虑高校特点，重点加大对高层</w:t>
      </w:r>
      <w:r>
        <w:rPr>
          <w:rFonts w:ascii="仿宋" w:eastAsia="仿宋" w:hAnsi="仿宋" w:cs="宋体" w:hint="eastAsia"/>
          <w:color w:val="000000"/>
          <w:kern w:val="0"/>
          <w:sz w:val="28"/>
        </w:rPr>
        <w:lastRenderedPageBreak/>
        <w:t>次人才集中、服务国家重大战略需求、着力培养拔尖创新人才高校的倾斜力度。高校根据备案人员总量、当地经济发展水平、办学层次等因素，自主确定本校绩效工资结构和分配方式。绩效工资分配要向关键岗位、高层次人才、业务骨干和做出突出成绩的工作人员倾斜。高校科研人员依法取得的科技成果转化奖励收入，不纳入绩效工资。</w:t>
      </w:r>
    </w:p>
    <w:p w:rsidR="00325DA0" w:rsidRDefault="00325DA0" w:rsidP="00325DA0">
      <w:pPr>
        <w:widowControl/>
        <w:shd w:val="clear" w:color="auto" w:fill="FFFFFF"/>
        <w:spacing w:line="480" w:lineRule="exact"/>
        <w:jc w:val="left"/>
        <w:rPr>
          <w:rFonts w:ascii="微软雅黑" w:eastAsia="微软雅黑" w:hAnsi="微软雅黑" w:cs="宋体" w:hint="eastAsia"/>
          <w:color w:val="000000"/>
          <w:kern w:val="0"/>
          <w:sz w:val="24"/>
        </w:rPr>
      </w:pPr>
      <w:r>
        <w:rPr>
          <w:rFonts w:ascii="微软雅黑" w:eastAsia="微软雅黑" w:hAnsi="微软雅黑" w:cs="宋体" w:hint="eastAsia"/>
          <w:color w:val="000000"/>
          <w:kern w:val="0"/>
          <w:sz w:val="24"/>
        </w:rPr>
        <w:t xml:space="preserve">　　</w:t>
      </w:r>
      <w:r>
        <w:rPr>
          <w:rFonts w:ascii="微软雅黑" w:eastAsia="微软雅黑" w:hAnsi="微软雅黑" w:cs="宋体" w:hint="eastAsia"/>
          <w:b/>
          <w:bCs/>
          <w:color w:val="000000"/>
          <w:kern w:val="0"/>
          <w:sz w:val="24"/>
        </w:rPr>
        <w:t>六、完善和加强高校经费使用管理</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微软雅黑" w:eastAsia="微软雅黑" w:hAnsi="微软雅黑" w:cs="宋体" w:hint="eastAsia"/>
          <w:color w:val="000000"/>
          <w:kern w:val="0"/>
          <w:sz w:val="24"/>
        </w:rPr>
        <w:t xml:space="preserve">　　</w:t>
      </w:r>
      <w:r>
        <w:rPr>
          <w:rFonts w:ascii="仿宋" w:eastAsia="仿宋" w:hAnsi="仿宋" w:cs="宋体" w:hint="eastAsia"/>
          <w:color w:val="000000"/>
          <w:kern w:val="0"/>
          <w:sz w:val="28"/>
        </w:rPr>
        <w:t>（十二）改进高校经费使用管理。财政部门要完善高校预算拨款制度，优化高等教育拨款结构，加大基本支出保障力度，基本支出占比较低的地方要进一步优化结构，合理安排基本支出。改进项目管理方式，完善资金管理办法，采取额度管理、自主调整等措施，进一步扩大高校项目资金统筹使用权。进一步完善高校国库集中支付范围划分，逐步扩大财政授权支付范围，逐步实现用款计划按政府收支分类科目的项级支出功能分类科目编报。</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十三）扩大高校资产处置权限。适当提高资产处置的备案和报批标准。高校自主处置已达使用年限、应淘汰报废的资产，处置收益留归学校使用。税务部门要执行好各项涉及高校的税收优惠政策。高校要进一步提高预算编制水平，加快财政预算执行进度，完善内控机制，严肃财经纪律，严格按照规定管好用好各项经费和资产，不断提高资金使用效益。强化高校资产管理的主体责任，确保国有资产的安全和有效使用。高校应依法接受审计监督。</w:t>
      </w:r>
    </w:p>
    <w:p w:rsidR="00325DA0" w:rsidRDefault="00325DA0" w:rsidP="00325DA0">
      <w:pPr>
        <w:widowControl/>
        <w:shd w:val="clear" w:color="auto" w:fill="FFFFFF"/>
        <w:spacing w:line="480" w:lineRule="exact"/>
        <w:jc w:val="left"/>
        <w:rPr>
          <w:rFonts w:ascii="微软雅黑" w:eastAsia="微软雅黑" w:hAnsi="微软雅黑" w:cs="宋体" w:hint="eastAsia"/>
          <w:color w:val="000000"/>
          <w:kern w:val="0"/>
          <w:sz w:val="24"/>
        </w:rPr>
      </w:pPr>
      <w:r>
        <w:rPr>
          <w:rFonts w:ascii="微软雅黑" w:eastAsia="微软雅黑" w:hAnsi="微软雅黑" w:cs="宋体" w:hint="eastAsia"/>
          <w:b/>
          <w:bCs/>
          <w:color w:val="000000"/>
          <w:kern w:val="0"/>
          <w:sz w:val="24"/>
        </w:rPr>
        <w:t xml:space="preserve">　　七、完善高校内部治理</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微软雅黑" w:eastAsia="微软雅黑" w:hAnsi="微软雅黑" w:cs="宋体" w:hint="eastAsia"/>
          <w:color w:val="000000"/>
          <w:kern w:val="0"/>
          <w:sz w:val="24"/>
        </w:rPr>
        <w:t xml:space="preserve">　</w:t>
      </w:r>
      <w:r>
        <w:rPr>
          <w:rFonts w:ascii="仿宋" w:eastAsia="仿宋" w:hAnsi="仿宋" w:cs="宋体" w:hint="eastAsia"/>
          <w:color w:val="000000"/>
          <w:kern w:val="0"/>
          <w:sz w:val="28"/>
        </w:rPr>
        <w:t xml:space="preserve">　（十四）加强党对高校的领导。高校要坚持和完善党委领导下的校长负责制，高校党委对本校工作实行全面领导，对本校党的建设全面负责，履行管党治党、办学治校的主体责任，落实党建工作责任制，切实发挥领导核心作用。坚持党管干部、党管人才，落实“三重一大”决策制度。强化院（系）党的领导，进一步发挥院（系）党委（党总支）的政治核心作用。加强基层党组织建设，推动全面从严治党向高校基层延伸，充分发挥党支部战斗堡垒作用。</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lastRenderedPageBreak/>
        <w:t xml:space="preserve">　　（十五）加强制度建设。高校要坚持正确办学方向和教育法律规定的基本制度，依法依章程行使自主权，强化章程在学校依法自主办学、实施管理和履行公共职能方面的基础作用。完善政治纪律、组织人事纪律、财经纪律，对工作中的失职失责行为要按有关规定严格问责。加强自我约束和管理，抓紧修订完善校内各项管理制度，使制度体系层次合理、简洁明确、协调一致，使高校发展做到治理有方、管理到位、风清气正。</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十六）完善民主管理和学术治理。进一步健全高校师生员工参与民主管理和监督的工作机制，发挥教职工代表大会和群众组织作用。坚持学术自由和学术规范相统一，坚持不懈培育优良校风和学风。完善学术评价体系和评价标准，推动学术事务去行政化。提高高校学术委员会建设水平，充分发挥高校学术委员会在学科建设、专业设置、学术发展、学术评价等事项中的重要作用。确立科学的考核评价和激励机制。突出同行专家在科研评价中的主导地位。</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十七）强化信息公开与社会监督。积极推进高校重大决策、重大事项、重要制度等校务公开。除涉及国家秘密、商业秘密、个人隐私以及公开可能危及国家安全、公共安全、经济安全、社会稳定和学校安全稳定的情况外，均应当依法依规公开相关信息。畅通监督渠道，发挥社会公众、媒体等力量在监督中的作用。利用现代信息技术手段，提高工作透明度，增强信息公开实效，让权力在阳光下运行。</w:t>
      </w:r>
    </w:p>
    <w:p w:rsidR="00325DA0" w:rsidRDefault="00325DA0" w:rsidP="00325DA0">
      <w:pPr>
        <w:widowControl/>
        <w:shd w:val="clear" w:color="auto" w:fill="FFFFFF"/>
        <w:spacing w:line="480" w:lineRule="exact"/>
        <w:jc w:val="left"/>
        <w:rPr>
          <w:rFonts w:ascii="微软雅黑" w:eastAsia="微软雅黑" w:hAnsi="微软雅黑" w:cs="宋体" w:hint="eastAsia"/>
          <w:color w:val="000000"/>
          <w:kern w:val="0"/>
          <w:sz w:val="24"/>
        </w:rPr>
      </w:pPr>
      <w:r>
        <w:rPr>
          <w:rFonts w:ascii="微软雅黑" w:eastAsia="微软雅黑" w:hAnsi="微软雅黑" w:cs="宋体" w:hint="eastAsia"/>
          <w:b/>
          <w:bCs/>
          <w:color w:val="000000"/>
          <w:kern w:val="0"/>
          <w:sz w:val="24"/>
        </w:rPr>
        <w:t xml:space="preserve">　　八、强化监管优化服务</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微软雅黑" w:eastAsia="微软雅黑" w:hAnsi="微软雅黑" w:cs="宋体" w:hint="eastAsia"/>
          <w:color w:val="000000"/>
          <w:kern w:val="0"/>
          <w:sz w:val="24"/>
        </w:rPr>
        <w:t xml:space="preserve">　　</w:t>
      </w:r>
      <w:r>
        <w:rPr>
          <w:rFonts w:ascii="仿宋" w:eastAsia="仿宋" w:hAnsi="仿宋" w:cs="宋体" w:hint="eastAsia"/>
          <w:color w:val="000000"/>
          <w:kern w:val="0"/>
          <w:sz w:val="28"/>
        </w:rPr>
        <w:t>（十八）构建事中事后监管体系。各地各部门要进一步转变职能和管理方式，支持高校适应创新发展需要，推进治理结构改革。要深入推进管办评分离，切实履行监管职责。创新监管方式和手段，通过完善信用机制、“双随机”抽查、行政执法、督导、巡视、第三方评估等加强事中事后监管。</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lastRenderedPageBreak/>
        <w:t xml:space="preserve">　　（十九）加强协调与指导。各地各部门要树立全局意识，加强协调，相互配合，整体推进。要引导高校合理定位，办出特色，防止“同质化”。对西部和艰苦边远地区高校给予必要政策倾斜。要及时解决工作中发现的问题，提高管理服务水平。</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二十）营造良好改革环境。各地各部门要简化优化服务流程，精简和规范办事程序，缩短办理时限，改进服务质量，让高校教学科研人员从过多过苛的要求、僵硬的考核、繁琐的表格中解放出来。依托“互联网+”，积极推动高校公共服务事项网上办理，提高办事效率。抓紧修改或废止影响高校发展和教学科研人员积极性的、不合时宜的行政法规和政策文件，保持改革政策协调一致。做好改革的总结推广和宣传引导工作，营造良好氛围。</w:t>
      </w:r>
    </w:p>
    <w:p w:rsidR="00325DA0" w:rsidRDefault="00325DA0" w:rsidP="00325DA0">
      <w:pPr>
        <w:widowControl/>
        <w:shd w:val="clear" w:color="auto" w:fill="FFFFFF"/>
        <w:spacing w:line="480" w:lineRule="exact"/>
        <w:jc w:val="left"/>
        <w:rPr>
          <w:rFonts w:ascii="仿宋" w:eastAsia="仿宋" w:hAnsi="仿宋" w:cs="宋体" w:hint="eastAsia"/>
          <w:color w:val="000000"/>
          <w:kern w:val="0"/>
          <w:sz w:val="28"/>
        </w:rPr>
      </w:pPr>
      <w:r>
        <w:rPr>
          <w:rFonts w:ascii="微软雅黑" w:eastAsia="微软雅黑" w:hAnsi="微软雅黑" w:cs="宋体" w:hint="eastAsia"/>
          <w:color w:val="000000"/>
          <w:kern w:val="0"/>
          <w:sz w:val="24"/>
        </w:rPr>
        <w:t xml:space="preserve">　　</w:t>
      </w:r>
      <w:r>
        <w:rPr>
          <w:rFonts w:ascii="仿宋" w:eastAsia="仿宋" w:hAnsi="仿宋" w:cs="宋体" w:hint="eastAsia"/>
          <w:color w:val="000000"/>
          <w:kern w:val="0"/>
          <w:sz w:val="28"/>
        </w:rPr>
        <w:t>各地各部门要立足我国基本国情教情，综合考虑不同地区和高校实际，抓紧细化高校人员总量、职称、薪酬等方面改革的试点或落实办法，大力推进改革进程。各高校要及时制定实施细则，向院系放权，向研发团队和领军人物放权，确保各项改革措施落到实处。</w:t>
      </w:r>
    </w:p>
    <w:p w:rsidR="00325DA0" w:rsidRDefault="00325DA0" w:rsidP="00325DA0">
      <w:pPr>
        <w:widowControl/>
        <w:shd w:val="clear" w:color="auto" w:fill="FFFFFF"/>
        <w:spacing w:line="480" w:lineRule="exact"/>
        <w:jc w:val="righ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w:t>
      </w:r>
    </w:p>
    <w:p w:rsidR="00325DA0" w:rsidRDefault="00325DA0" w:rsidP="00325DA0">
      <w:pPr>
        <w:widowControl/>
        <w:shd w:val="clear" w:color="auto" w:fill="FFFFFF"/>
        <w:spacing w:line="480" w:lineRule="exact"/>
        <w:jc w:val="right"/>
        <w:rPr>
          <w:rFonts w:ascii="仿宋" w:eastAsia="仿宋" w:hAnsi="仿宋" w:cs="宋体" w:hint="eastAsia"/>
          <w:color w:val="000000"/>
          <w:kern w:val="0"/>
          <w:sz w:val="28"/>
        </w:rPr>
      </w:pPr>
      <w:r>
        <w:rPr>
          <w:rFonts w:ascii="仿宋" w:eastAsia="仿宋" w:hAnsi="仿宋" w:cs="宋体" w:hint="eastAsia"/>
          <w:color w:val="000000"/>
          <w:kern w:val="0"/>
          <w:sz w:val="28"/>
        </w:rPr>
        <w:t>教育部 中央编办 发展改革委</w:t>
      </w:r>
    </w:p>
    <w:p w:rsidR="00325DA0" w:rsidRDefault="00325DA0" w:rsidP="00325DA0">
      <w:pPr>
        <w:widowControl/>
        <w:shd w:val="clear" w:color="auto" w:fill="FFFFFF"/>
        <w:spacing w:line="480" w:lineRule="exact"/>
        <w:jc w:val="right"/>
        <w:rPr>
          <w:rFonts w:ascii="仿宋" w:eastAsia="仿宋" w:hAnsi="仿宋" w:cs="宋体" w:hint="eastAsia"/>
          <w:color w:val="000000"/>
          <w:kern w:val="0"/>
          <w:sz w:val="28"/>
        </w:rPr>
      </w:pPr>
      <w:r>
        <w:rPr>
          <w:rFonts w:ascii="仿宋" w:eastAsia="仿宋" w:hAnsi="仿宋" w:cs="宋体" w:hint="eastAsia"/>
          <w:color w:val="000000"/>
          <w:kern w:val="0"/>
          <w:sz w:val="28"/>
        </w:rPr>
        <w:t xml:space="preserve">　　财政部 人力资源社会保障部</w:t>
      </w:r>
    </w:p>
    <w:p w:rsidR="00395325" w:rsidRDefault="00325DA0" w:rsidP="00325DA0">
      <w:pPr>
        <w:widowControl/>
        <w:shd w:val="clear" w:color="auto" w:fill="FFFFFF"/>
        <w:spacing w:line="480" w:lineRule="exact"/>
        <w:jc w:val="right"/>
      </w:pPr>
      <w:r>
        <w:rPr>
          <w:rFonts w:ascii="仿宋" w:eastAsia="仿宋" w:hAnsi="仿宋" w:cs="宋体" w:hint="eastAsia"/>
          <w:color w:val="000000"/>
          <w:kern w:val="0"/>
          <w:sz w:val="28"/>
        </w:rPr>
        <w:t xml:space="preserve">　　2017年3月31日</w:t>
      </w:r>
    </w:p>
    <w:sectPr w:rsidR="003953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DA0" w:rsidRDefault="00325DA0" w:rsidP="00325DA0">
      <w:r>
        <w:separator/>
      </w:r>
    </w:p>
  </w:endnote>
  <w:endnote w:type="continuationSeparator" w:id="0">
    <w:p w:rsidR="00325DA0" w:rsidRDefault="00325DA0" w:rsidP="00325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DA0" w:rsidRDefault="00325DA0" w:rsidP="00325DA0">
      <w:r>
        <w:separator/>
      </w:r>
    </w:p>
  </w:footnote>
  <w:footnote w:type="continuationSeparator" w:id="0">
    <w:p w:rsidR="00325DA0" w:rsidRDefault="00325DA0" w:rsidP="00325D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D3"/>
    <w:rsid w:val="002D24D3"/>
    <w:rsid w:val="00325DA0"/>
    <w:rsid w:val="00395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CB9B59F-94BC-4F88-9599-D5F0751FC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D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5D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25DA0"/>
    <w:rPr>
      <w:sz w:val="18"/>
      <w:szCs w:val="18"/>
    </w:rPr>
  </w:style>
  <w:style w:type="paragraph" w:styleId="a4">
    <w:name w:val="footer"/>
    <w:basedOn w:val="a"/>
    <w:link w:val="Char0"/>
    <w:uiPriority w:val="99"/>
    <w:unhideWhenUsed/>
    <w:rsid w:val="00325D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25D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杨妮莎</dc:creator>
  <cp:keywords/>
  <dc:description/>
  <cp:lastModifiedBy>杨妮莎</cp:lastModifiedBy>
  <cp:revision>2</cp:revision>
  <dcterms:created xsi:type="dcterms:W3CDTF">2017-09-18T01:36:00Z</dcterms:created>
  <dcterms:modified xsi:type="dcterms:W3CDTF">2017-09-18T01:37:00Z</dcterms:modified>
</cp:coreProperties>
</file>